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FB4D0" w14:textId="77777777" w:rsidR="00DD74AB" w:rsidRPr="008E3EA9" w:rsidRDefault="00DD74AB" w:rsidP="00DD74AB">
      <w:pPr>
        <w:spacing w:after="0" w:line="480" w:lineRule="auto"/>
        <w:jc w:val="center"/>
        <w:rPr>
          <w:rFonts w:ascii="Times New Roman" w:hAnsi="Times New Roman" w:cs="Times New Roman"/>
          <w:b/>
          <w:sz w:val="24"/>
          <w:szCs w:val="24"/>
        </w:rPr>
      </w:pPr>
    </w:p>
    <w:p w14:paraId="25B86EA6" w14:textId="77777777" w:rsidR="00DD74AB" w:rsidRPr="008E3EA9" w:rsidRDefault="00DD74AB" w:rsidP="00DD74AB">
      <w:pPr>
        <w:spacing w:after="0" w:line="480" w:lineRule="auto"/>
        <w:jc w:val="center"/>
        <w:rPr>
          <w:rFonts w:ascii="Times New Roman" w:hAnsi="Times New Roman" w:cs="Times New Roman"/>
          <w:b/>
          <w:sz w:val="24"/>
          <w:szCs w:val="24"/>
        </w:rPr>
      </w:pPr>
    </w:p>
    <w:p w14:paraId="2F799D0A" w14:textId="77777777" w:rsidR="00DD74AB" w:rsidRPr="008E3EA9" w:rsidRDefault="00DD74AB" w:rsidP="00DD74AB">
      <w:pPr>
        <w:spacing w:after="0" w:line="480" w:lineRule="auto"/>
        <w:jc w:val="center"/>
        <w:rPr>
          <w:rFonts w:ascii="Times New Roman" w:hAnsi="Times New Roman" w:cs="Times New Roman"/>
          <w:b/>
          <w:sz w:val="24"/>
          <w:szCs w:val="24"/>
        </w:rPr>
      </w:pPr>
    </w:p>
    <w:p w14:paraId="08C915CA" w14:textId="4BD36DB5" w:rsidR="00C80F02" w:rsidRPr="008E3EA9" w:rsidRDefault="00F350F8" w:rsidP="00C80F02">
      <w:pPr>
        <w:spacing w:after="0" w:line="480" w:lineRule="auto"/>
        <w:jc w:val="center"/>
        <w:rPr>
          <w:rFonts w:ascii="Times New Roman" w:hAnsi="Times New Roman" w:cs="Times New Roman"/>
          <w:b/>
          <w:bCs/>
          <w:sz w:val="24"/>
          <w:szCs w:val="24"/>
        </w:rPr>
      </w:pPr>
      <w:r w:rsidRPr="008E3EA9">
        <w:rPr>
          <w:rFonts w:ascii="Times New Roman" w:hAnsi="Times New Roman" w:cs="Times New Roman"/>
          <w:b/>
          <w:bCs/>
          <w:sz w:val="24"/>
          <w:szCs w:val="24"/>
        </w:rPr>
        <w:t>Literature Review</w:t>
      </w:r>
    </w:p>
    <w:p w14:paraId="66F38ADE" w14:textId="1CB6FBB6" w:rsidR="007E2C7A" w:rsidRPr="00652B06" w:rsidRDefault="008D7E30" w:rsidP="008D7E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Lanita N. Orr</w:t>
      </w:r>
    </w:p>
    <w:p w14:paraId="2034A2AE" w14:textId="1C5E1AE1" w:rsidR="007E2C7A" w:rsidRPr="00652B06" w:rsidRDefault="008D7E30" w:rsidP="00DD74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MBA 5652: Research Methods</w:t>
      </w:r>
    </w:p>
    <w:p w14:paraId="1812BA11" w14:textId="07F5D02E" w:rsidR="007E2C7A" w:rsidRPr="00652B06" w:rsidRDefault="008D7E30" w:rsidP="00DD74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 Senft</w:t>
      </w:r>
    </w:p>
    <w:p w14:paraId="7F47623F" w14:textId="75370A55" w:rsidR="00406549" w:rsidRPr="009F1D6F" w:rsidRDefault="008D7E30" w:rsidP="009F1D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October 5, 2021</w:t>
      </w:r>
      <w:r w:rsidR="00F350F8" w:rsidRPr="00652B06">
        <w:rPr>
          <w:rFonts w:ascii="Times New Roman" w:hAnsi="Times New Roman" w:cs="Times New Roman"/>
          <w:b/>
          <w:sz w:val="24"/>
          <w:szCs w:val="24"/>
        </w:rPr>
        <w:br w:type="page"/>
      </w:r>
    </w:p>
    <w:p w14:paraId="7090FFEC" w14:textId="77777777" w:rsidR="00641CA2" w:rsidRPr="00652B06" w:rsidRDefault="00F350F8" w:rsidP="00DD74AB">
      <w:pPr>
        <w:autoSpaceDE w:val="0"/>
        <w:autoSpaceDN w:val="0"/>
        <w:adjustRightInd w:val="0"/>
        <w:spacing w:after="0" w:line="480" w:lineRule="auto"/>
        <w:jc w:val="center"/>
        <w:rPr>
          <w:rFonts w:ascii="Times New Roman" w:hAnsi="Times New Roman" w:cs="Times New Roman"/>
          <w:b/>
          <w:sz w:val="24"/>
          <w:szCs w:val="24"/>
        </w:rPr>
      </w:pPr>
      <w:r w:rsidRPr="00652B06">
        <w:rPr>
          <w:rFonts w:ascii="Times New Roman" w:hAnsi="Times New Roman" w:cs="Times New Roman"/>
          <w:b/>
          <w:sz w:val="24"/>
          <w:szCs w:val="24"/>
        </w:rPr>
        <w:lastRenderedPageBreak/>
        <w:t>Literature Review</w:t>
      </w:r>
    </w:p>
    <w:p w14:paraId="42FF28A9" w14:textId="783A796D" w:rsidR="00663683" w:rsidRPr="00652B06" w:rsidRDefault="00F350F8" w:rsidP="00990C36">
      <w:pPr>
        <w:autoSpaceDE w:val="0"/>
        <w:autoSpaceDN w:val="0"/>
        <w:adjustRightInd w:val="0"/>
        <w:spacing w:after="0" w:line="480" w:lineRule="auto"/>
        <w:rPr>
          <w:rFonts w:ascii="Times New Roman" w:hAnsi="Times New Roman" w:cs="Times New Roman"/>
          <w:b/>
          <w:sz w:val="24"/>
          <w:szCs w:val="24"/>
        </w:rPr>
      </w:pPr>
      <w:r w:rsidRPr="00652B06">
        <w:rPr>
          <w:rFonts w:ascii="Times New Roman" w:hAnsi="Times New Roman" w:cs="Times New Roman"/>
          <w:b/>
          <w:sz w:val="24"/>
          <w:szCs w:val="24"/>
        </w:rPr>
        <w:t>Particulate Matter (PM)</w:t>
      </w:r>
    </w:p>
    <w:p w14:paraId="31DF62E0" w14:textId="4C62C0D6" w:rsidR="00663683" w:rsidRPr="00652B06" w:rsidRDefault="00990C36" w:rsidP="00B91664">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tend to be a </w:t>
      </w:r>
      <w:r w:rsidRPr="00652B06">
        <w:rPr>
          <w:rFonts w:ascii="Times New Roman" w:hAnsi="Times New Roman" w:cs="Times New Roman"/>
          <w:sz w:val="24"/>
          <w:szCs w:val="24"/>
        </w:rPr>
        <w:t>relationship</w:t>
      </w:r>
      <w:r w:rsidR="00F350F8" w:rsidRPr="00652B06">
        <w:rPr>
          <w:rFonts w:ascii="Times New Roman" w:hAnsi="Times New Roman" w:cs="Times New Roman"/>
          <w:sz w:val="24"/>
          <w:szCs w:val="24"/>
        </w:rPr>
        <w:t xml:space="preserve"> between particulate </w:t>
      </w:r>
      <w:r w:rsidR="00652B06" w:rsidRPr="00652B06">
        <w:rPr>
          <w:rFonts w:ascii="Times New Roman" w:hAnsi="Times New Roman" w:cs="Times New Roman"/>
          <w:sz w:val="24"/>
          <w:szCs w:val="24"/>
        </w:rPr>
        <w:t>matter (</w:t>
      </w:r>
      <w:r w:rsidR="00F350F8" w:rsidRPr="00652B06">
        <w:rPr>
          <w:rFonts w:ascii="Times New Roman" w:hAnsi="Times New Roman" w:cs="Times New Roman"/>
          <w:sz w:val="24"/>
          <w:szCs w:val="24"/>
        </w:rPr>
        <w:t xml:space="preserve">PM) and employee size and health. </w:t>
      </w:r>
      <w:r>
        <w:rPr>
          <w:rFonts w:ascii="Times New Roman" w:hAnsi="Times New Roman" w:cs="Times New Roman"/>
          <w:sz w:val="24"/>
          <w:szCs w:val="24"/>
        </w:rPr>
        <w:t>Velentza (2016), who has a h</w:t>
      </w:r>
      <w:r w:rsidR="00F350F8" w:rsidRPr="00652B06">
        <w:rPr>
          <w:rFonts w:ascii="Times New Roman" w:hAnsi="Times New Roman" w:cs="Times New Roman"/>
          <w:sz w:val="24"/>
          <w:szCs w:val="24"/>
        </w:rPr>
        <w:t xml:space="preserve">ealthcare background with a </w:t>
      </w:r>
      <w:r w:rsidR="00B91664" w:rsidRPr="00652B06">
        <w:rPr>
          <w:rFonts w:ascii="Times New Roman" w:hAnsi="Times New Roman" w:cs="Times New Roman"/>
          <w:sz w:val="24"/>
          <w:szCs w:val="24"/>
        </w:rPr>
        <w:t>specialty</w:t>
      </w:r>
      <w:r w:rsidR="00F350F8" w:rsidRPr="00652B06">
        <w:rPr>
          <w:rFonts w:ascii="Times New Roman" w:hAnsi="Times New Roman" w:cs="Times New Roman"/>
          <w:sz w:val="24"/>
          <w:szCs w:val="24"/>
        </w:rPr>
        <w:t xml:space="preserve"> in nursing</w:t>
      </w:r>
      <w:r>
        <w:rPr>
          <w:rFonts w:ascii="Times New Roman" w:hAnsi="Times New Roman" w:cs="Times New Roman"/>
          <w:sz w:val="24"/>
          <w:szCs w:val="24"/>
        </w:rPr>
        <w:t xml:space="preserve">, has candidly explained this. He makes a description of </w:t>
      </w:r>
      <w:r w:rsidR="00F350F8" w:rsidRPr="00652B06">
        <w:rPr>
          <w:rFonts w:ascii="Times New Roman" w:hAnsi="Times New Roman" w:cs="Times New Roman"/>
          <w:sz w:val="24"/>
          <w:szCs w:val="24"/>
        </w:rPr>
        <w:t xml:space="preserve">how the air we </w:t>
      </w:r>
      <w:r w:rsidR="00B91664" w:rsidRPr="00652B06">
        <w:rPr>
          <w:rFonts w:ascii="Times New Roman" w:hAnsi="Times New Roman" w:cs="Times New Roman"/>
          <w:sz w:val="24"/>
          <w:szCs w:val="24"/>
        </w:rPr>
        <w:t>breathe</w:t>
      </w:r>
      <w:r w:rsidR="00F350F8" w:rsidRPr="00652B06">
        <w:rPr>
          <w:rFonts w:ascii="Times New Roman" w:hAnsi="Times New Roman" w:cs="Times New Roman"/>
          <w:sz w:val="24"/>
          <w:szCs w:val="24"/>
        </w:rPr>
        <w:t xml:space="preserve"> </w:t>
      </w:r>
      <w:r w:rsidR="00B91664" w:rsidRPr="00652B06">
        <w:rPr>
          <w:rFonts w:ascii="Times New Roman" w:hAnsi="Times New Roman" w:cs="Times New Roman"/>
          <w:sz w:val="24"/>
          <w:szCs w:val="24"/>
        </w:rPr>
        <w:t>contains</w:t>
      </w:r>
      <w:r w:rsidR="00F350F8" w:rsidRPr="00652B06">
        <w:rPr>
          <w:rFonts w:ascii="Times New Roman" w:hAnsi="Times New Roman" w:cs="Times New Roman"/>
          <w:sz w:val="24"/>
          <w:szCs w:val="24"/>
        </w:rPr>
        <w:t xml:space="preserve"> pollutants and affects </w:t>
      </w:r>
      <w:r w:rsidR="00B91664" w:rsidRPr="00652B06">
        <w:rPr>
          <w:rFonts w:ascii="Times New Roman" w:hAnsi="Times New Roman" w:cs="Times New Roman"/>
          <w:sz w:val="24"/>
          <w:szCs w:val="24"/>
        </w:rPr>
        <w:t>one’s</w:t>
      </w:r>
      <w:r w:rsidR="00F350F8" w:rsidRPr="00652B06">
        <w:rPr>
          <w:rFonts w:ascii="Times New Roman" w:hAnsi="Times New Roman" w:cs="Times New Roman"/>
          <w:sz w:val="24"/>
          <w:szCs w:val="24"/>
        </w:rPr>
        <w:t xml:space="preserve"> health. Velentza </w:t>
      </w:r>
      <w:r w:rsidR="00B91664" w:rsidRPr="00652B06">
        <w:rPr>
          <w:rFonts w:ascii="Times New Roman" w:hAnsi="Times New Roman" w:cs="Times New Roman"/>
          <w:sz w:val="24"/>
          <w:szCs w:val="24"/>
        </w:rPr>
        <w:t>used explanatory</w:t>
      </w:r>
      <w:r w:rsidR="00F350F8" w:rsidRPr="00652B06">
        <w:rPr>
          <w:rFonts w:ascii="Times New Roman" w:hAnsi="Times New Roman" w:cs="Times New Roman"/>
          <w:sz w:val="24"/>
          <w:szCs w:val="24"/>
        </w:rPr>
        <w:t xml:space="preserve"> sequential mixed methods in the study. </w:t>
      </w:r>
      <w:r w:rsidR="00B91664" w:rsidRPr="00652B06">
        <w:rPr>
          <w:rFonts w:ascii="Times New Roman" w:hAnsi="Times New Roman" w:cs="Times New Roman"/>
          <w:sz w:val="24"/>
          <w:szCs w:val="24"/>
        </w:rPr>
        <w:t>Quantitative data was transcribed in the analysis to demonstrate how pollutants in matter affect people's health</w:t>
      </w:r>
      <w:r w:rsidR="006E04A0" w:rsidRPr="00652B06">
        <w:rPr>
          <w:rFonts w:ascii="Times New Roman" w:hAnsi="Times New Roman" w:cs="Times New Roman"/>
          <w:sz w:val="24"/>
          <w:szCs w:val="24"/>
        </w:rPr>
        <w:t xml:space="preserve"> (Velentza, 2016).</w:t>
      </w:r>
      <w:r w:rsidR="00B91664" w:rsidRPr="00652B06">
        <w:rPr>
          <w:rFonts w:ascii="Times New Roman" w:hAnsi="Times New Roman" w:cs="Times New Roman"/>
          <w:sz w:val="24"/>
          <w:szCs w:val="24"/>
        </w:rPr>
        <w:t xml:space="preserve"> Furthermore, the results obtained from the study proved how particulate matter imposes long-term health effects on individuals. Therefore, the article is related to the sun coast challenge as the terminology in it can help describe how job site pollution has adverse effects on employees' health. </w:t>
      </w:r>
    </w:p>
    <w:p w14:paraId="5B36597D" w14:textId="5A03C7F1" w:rsidR="00A628E8" w:rsidRPr="00652B06" w:rsidRDefault="00F350F8" w:rsidP="004C63D6">
      <w:pPr>
        <w:autoSpaceDE w:val="0"/>
        <w:autoSpaceDN w:val="0"/>
        <w:adjustRightInd w:val="0"/>
        <w:spacing w:after="0" w:line="480" w:lineRule="auto"/>
        <w:jc w:val="center"/>
        <w:rPr>
          <w:rFonts w:ascii="Times New Roman" w:hAnsi="Times New Roman" w:cs="Times New Roman"/>
          <w:b/>
          <w:sz w:val="24"/>
          <w:szCs w:val="24"/>
        </w:rPr>
      </w:pPr>
      <w:r w:rsidRPr="00652B06">
        <w:rPr>
          <w:rFonts w:ascii="Times New Roman" w:hAnsi="Times New Roman" w:cs="Times New Roman"/>
          <w:b/>
          <w:sz w:val="24"/>
          <w:szCs w:val="24"/>
        </w:rPr>
        <w:t>Safety Training Effectiveness</w:t>
      </w:r>
    </w:p>
    <w:p w14:paraId="155187C8" w14:textId="594711C4" w:rsidR="00B91664" w:rsidRPr="00652B06" w:rsidRDefault="00F350F8" w:rsidP="004C63D6">
      <w:pPr>
        <w:autoSpaceDE w:val="0"/>
        <w:autoSpaceDN w:val="0"/>
        <w:adjustRightInd w:val="0"/>
        <w:spacing w:after="0" w:line="480" w:lineRule="auto"/>
        <w:ind w:firstLine="720"/>
        <w:rPr>
          <w:rFonts w:ascii="Times New Roman" w:hAnsi="Times New Roman" w:cs="Times New Roman"/>
          <w:sz w:val="24"/>
          <w:szCs w:val="24"/>
        </w:rPr>
      </w:pPr>
      <w:r w:rsidRPr="00652B06">
        <w:rPr>
          <w:rFonts w:ascii="Times New Roman" w:hAnsi="Times New Roman" w:cs="Times New Roman"/>
          <w:sz w:val="24"/>
          <w:szCs w:val="24"/>
        </w:rPr>
        <w:t xml:space="preserve">To determine the effectiveness of safety training, the Indian Journal of Industrial Relations by Dr. Srimannarayana was used. Notably, the </w:t>
      </w:r>
      <w:r w:rsidR="004C63D6" w:rsidRPr="00652B06">
        <w:rPr>
          <w:rFonts w:ascii="Times New Roman" w:hAnsi="Times New Roman" w:cs="Times New Roman"/>
          <w:sz w:val="24"/>
          <w:szCs w:val="24"/>
        </w:rPr>
        <w:t>author</w:t>
      </w:r>
      <w:r w:rsidRPr="00652B06">
        <w:rPr>
          <w:rFonts w:ascii="Times New Roman" w:hAnsi="Times New Roman" w:cs="Times New Roman"/>
          <w:sz w:val="24"/>
          <w:szCs w:val="24"/>
        </w:rPr>
        <w:t xml:space="preserve"> is qualified in the educational field with a strong human resource background. Additionally, the research utilized quantitative research through surveys</w:t>
      </w:r>
      <w:r w:rsidR="009E0044" w:rsidRPr="00652B06">
        <w:rPr>
          <w:rFonts w:ascii="Times New Roman" w:hAnsi="Times New Roman" w:cs="Times New Roman"/>
          <w:sz w:val="24"/>
          <w:szCs w:val="24"/>
        </w:rPr>
        <w:t xml:space="preserve"> (Creswell, J. W., &amp; Creswell, 2018).</w:t>
      </w:r>
      <w:r w:rsidRPr="00652B06">
        <w:rPr>
          <w:rFonts w:ascii="Times New Roman" w:hAnsi="Times New Roman" w:cs="Times New Roman"/>
          <w:sz w:val="24"/>
          <w:szCs w:val="24"/>
        </w:rPr>
        <w:t xml:space="preserve"> As indicated by Srimannarayana</w:t>
      </w:r>
      <w:r w:rsidR="004C63D6" w:rsidRPr="00652B06">
        <w:rPr>
          <w:rFonts w:ascii="Times New Roman" w:hAnsi="Times New Roman" w:cs="Times New Roman"/>
          <w:sz w:val="24"/>
          <w:szCs w:val="24"/>
        </w:rPr>
        <w:t xml:space="preserve"> </w:t>
      </w:r>
      <w:r w:rsidRPr="00652B06">
        <w:rPr>
          <w:rFonts w:ascii="Times New Roman" w:hAnsi="Times New Roman" w:cs="Times New Roman"/>
          <w:sz w:val="24"/>
          <w:szCs w:val="24"/>
        </w:rPr>
        <w:t xml:space="preserve">(2017), a </w:t>
      </w:r>
      <w:r w:rsidR="004C63D6" w:rsidRPr="00652B06">
        <w:rPr>
          <w:rFonts w:ascii="Times New Roman" w:hAnsi="Times New Roman" w:cs="Times New Roman"/>
          <w:sz w:val="24"/>
          <w:szCs w:val="24"/>
        </w:rPr>
        <w:t>questionnaire</w:t>
      </w:r>
      <w:r w:rsidRPr="00652B06">
        <w:rPr>
          <w:rFonts w:ascii="Times New Roman" w:hAnsi="Times New Roman" w:cs="Times New Roman"/>
          <w:sz w:val="24"/>
          <w:szCs w:val="24"/>
        </w:rPr>
        <w:t xml:space="preserve"> that addresses five training levels was developed. The results concluded that whether training is carried out online or offline, time management and effectiveness can be determined by the quality of the process. Furthermore, the article is related to the sun coast as it draws comparisons of the effectiveness of quantity and quality in regards to training. Moreover, I believe that it has positively impacted the organization as it shows how deliberate training programs can be applied in the setting to boost effectiveness. </w:t>
      </w:r>
    </w:p>
    <w:p w14:paraId="4F13EAB3" w14:textId="5569758F" w:rsidR="00A628E8" w:rsidRPr="00652B06" w:rsidRDefault="00F350F8" w:rsidP="004C63D6">
      <w:pPr>
        <w:autoSpaceDE w:val="0"/>
        <w:autoSpaceDN w:val="0"/>
        <w:adjustRightInd w:val="0"/>
        <w:spacing w:after="0" w:line="480" w:lineRule="auto"/>
        <w:jc w:val="center"/>
        <w:rPr>
          <w:rFonts w:ascii="Times New Roman" w:hAnsi="Times New Roman" w:cs="Times New Roman"/>
          <w:b/>
          <w:sz w:val="24"/>
          <w:szCs w:val="24"/>
        </w:rPr>
      </w:pPr>
      <w:r w:rsidRPr="00652B06">
        <w:rPr>
          <w:rFonts w:ascii="Times New Roman" w:hAnsi="Times New Roman" w:cs="Times New Roman"/>
          <w:b/>
          <w:sz w:val="24"/>
          <w:szCs w:val="24"/>
        </w:rPr>
        <w:t xml:space="preserve">Sound-Level Exposure </w:t>
      </w:r>
    </w:p>
    <w:p w14:paraId="002BA18B" w14:textId="6B079B6F" w:rsidR="004C63D6" w:rsidRPr="00652B06" w:rsidRDefault="00F350F8" w:rsidP="00D65800">
      <w:pPr>
        <w:autoSpaceDE w:val="0"/>
        <w:autoSpaceDN w:val="0"/>
        <w:adjustRightInd w:val="0"/>
        <w:spacing w:after="0" w:line="480" w:lineRule="auto"/>
        <w:ind w:firstLine="720"/>
        <w:rPr>
          <w:rFonts w:ascii="Times New Roman" w:hAnsi="Times New Roman" w:cs="Times New Roman"/>
          <w:sz w:val="24"/>
          <w:szCs w:val="24"/>
        </w:rPr>
      </w:pPr>
      <w:r w:rsidRPr="00652B06">
        <w:rPr>
          <w:rFonts w:ascii="Times New Roman" w:hAnsi="Times New Roman" w:cs="Times New Roman"/>
          <w:sz w:val="24"/>
          <w:szCs w:val="24"/>
        </w:rPr>
        <w:lastRenderedPageBreak/>
        <w:t>An article that talks about attenuation research regarding hearing protection has been used to understand sound level exposure. The authors in the article have varied professional backgrounds on health and occupational safety. The main purpose of the research is to assess the size and design of influence on hearing protection and the decision to ascertain protection equipment</w:t>
      </w:r>
      <w:r w:rsidR="009E0044" w:rsidRPr="00652B06">
        <w:rPr>
          <w:rFonts w:ascii="Times New Roman" w:hAnsi="Times New Roman" w:cs="Times New Roman"/>
          <w:sz w:val="24"/>
          <w:szCs w:val="24"/>
        </w:rPr>
        <w:t xml:space="preserve"> (Samelli et al., 2018)</w:t>
      </w:r>
      <w:r w:rsidRPr="00652B06">
        <w:rPr>
          <w:rFonts w:ascii="Times New Roman" w:hAnsi="Times New Roman" w:cs="Times New Roman"/>
          <w:sz w:val="24"/>
          <w:szCs w:val="24"/>
        </w:rPr>
        <w:t>. Besides, the quantitative experimental design was used to carry out an observational study. Furthermore, the results concluded that organizations need to be accountable for their employees' needs and consider using individualized protection devices at work. The article relates to the sun coast problem as it provides recommendations on how organizations can obtain hearing protection aids for their workers</w:t>
      </w:r>
      <w:r w:rsidR="00D65800" w:rsidRPr="00652B06">
        <w:rPr>
          <w:rFonts w:ascii="Times New Roman" w:hAnsi="Times New Roman" w:cs="Times New Roman"/>
          <w:sz w:val="24"/>
          <w:szCs w:val="24"/>
        </w:rPr>
        <w:t>. Furthermore, I believe that the research has made a positive impact as it provides awareness to organizational leaders regarding hearing risks that employees face.</w:t>
      </w:r>
    </w:p>
    <w:p w14:paraId="4A1FAA25" w14:textId="49CFD287" w:rsidR="00A628E8" w:rsidRPr="00652B06" w:rsidRDefault="00F350F8" w:rsidP="00D65800">
      <w:pPr>
        <w:autoSpaceDE w:val="0"/>
        <w:autoSpaceDN w:val="0"/>
        <w:adjustRightInd w:val="0"/>
        <w:spacing w:after="0" w:line="480" w:lineRule="auto"/>
        <w:jc w:val="center"/>
        <w:rPr>
          <w:rFonts w:ascii="Times New Roman" w:hAnsi="Times New Roman" w:cs="Times New Roman"/>
          <w:b/>
          <w:sz w:val="24"/>
          <w:szCs w:val="24"/>
        </w:rPr>
      </w:pPr>
      <w:r w:rsidRPr="00652B06">
        <w:rPr>
          <w:rFonts w:ascii="Times New Roman" w:hAnsi="Times New Roman" w:cs="Times New Roman"/>
          <w:b/>
          <w:sz w:val="24"/>
          <w:szCs w:val="24"/>
        </w:rPr>
        <w:t xml:space="preserve">New Employee Training </w:t>
      </w:r>
    </w:p>
    <w:p w14:paraId="5157C08D" w14:textId="39EA8507" w:rsidR="00D65800" w:rsidRPr="00652B06" w:rsidRDefault="00F350F8" w:rsidP="00C80F02">
      <w:pPr>
        <w:autoSpaceDE w:val="0"/>
        <w:autoSpaceDN w:val="0"/>
        <w:adjustRightInd w:val="0"/>
        <w:spacing w:after="0" w:line="480" w:lineRule="auto"/>
        <w:ind w:firstLine="720"/>
        <w:rPr>
          <w:rFonts w:ascii="Times New Roman" w:hAnsi="Times New Roman" w:cs="Times New Roman"/>
          <w:b/>
          <w:sz w:val="24"/>
          <w:szCs w:val="24"/>
        </w:rPr>
      </w:pPr>
      <w:r w:rsidRPr="00652B06">
        <w:rPr>
          <w:rFonts w:ascii="Times New Roman" w:hAnsi="Times New Roman" w:cs="Times New Roman"/>
          <w:sz w:val="24"/>
          <w:szCs w:val="24"/>
        </w:rPr>
        <w:t>Traci Sitzman and Justin Weinhardt in the management journal were used to address new employee training effectiveness. The authors have professional backgrounds in development. The purpose of the study was to prove how different procedures within an organization's hierarchy can impact each other and influence training in the long run. Additionally, concurrent mixed methods were utilized in the study. Notably, quantitative and qualitative designs were merged to ascertain the effectiveness of new training programs</w:t>
      </w:r>
      <w:r w:rsidR="009E0044" w:rsidRPr="00652B06">
        <w:rPr>
          <w:rFonts w:ascii="Times New Roman" w:hAnsi="Times New Roman" w:cs="Times New Roman"/>
          <w:sz w:val="24"/>
          <w:szCs w:val="24"/>
        </w:rPr>
        <w:t xml:space="preserve"> (Sitzmann &amp; Weinhardt, 2015)</w:t>
      </w:r>
      <w:r w:rsidRPr="00652B06">
        <w:rPr>
          <w:rFonts w:ascii="Times New Roman" w:hAnsi="Times New Roman" w:cs="Times New Roman"/>
          <w:sz w:val="24"/>
          <w:szCs w:val="24"/>
        </w:rPr>
        <w:t xml:space="preserve">. Furthermore, the article relates to the sun coast problem as it demonstrates how new training programs are effective compared to broad ones. Moreover, I believe that the study has made a positive organizational impact as it indicates the significance of deliberate training of employees. </w:t>
      </w:r>
    </w:p>
    <w:p w14:paraId="3BCF3478" w14:textId="44CC6E3E" w:rsidR="00A628E8" w:rsidRPr="00652B06" w:rsidRDefault="00F350F8" w:rsidP="007E2C7A">
      <w:pPr>
        <w:autoSpaceDE w:val="0"/>
        <w:autoSpaceDN w:val="0"/>
        <w:adjustRightInd w:val="0"/>
        <w:spacing w:after="0" w:line="480" w:lineRule="auto"/>
        <w:jc w:val="center"/>
        <w:rPr>
          <w:rFonts w:ascii="Times New Roman" w:hAnsi="Times New Roman" w:cs="Times New Roman"/>
          <w:b/>
          <w:sz w:val="24"/>
          <w:szCs w:val="24"/>
        </w:rPr>
      </w:pPr>
      <w:r w:rsidRPr="00652B06">
        <w:rPr>
          <w:rFonts w:ascii="Times New Roman" w:hAnsi="Times New Roman" w:cs="Times New Roman"/>
          <w:b/>
          <w:sz w:val="24"/>
          <w:szCs w:val="24"/>
        </w:rPr>
        <w:t xml:space="preserve">Lead Exposure </w:t>
      </w:r>
    </w:p>
    <w:p w14:paraId="433B99EB" w14:textId="48ADDFBB" w:rsidR="00D65800" w:rsidRPr="00652B06" w:rsidRDefault="00652B06" w:rsidP="007E2C7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Lead exposure in the environment has direct negative impact on people’s health as presented by Nickel et al. (</w:t>
      </w:r>
      <w:r w:rsidRPr="006C5BCF">
        <w:rPr>
          <w:rFonts w:ascii="Times New Roman" w:hAnsi="Times New Roman" w:cs="Times New Roman"/>
          <w:sz w:val="24"/>
          <w:szCs w:val="24"/>
        </w:rPr>
        <w:t>2018</w:t>
      </w:r>
      <w:r>
        <w:rPr>
          <w:rFonts w:ascii="Times New Roman" w:hAnsi="Times New Roman" w:cs="Times New Roman"/>
          <w:sz w:val="24"/>
          <w:szCs w:val="24"/>
        </w:rPr>
        <w:t>), in their article.</w:t>
      </w:r>
      <w:r w:rsidR="00F350F8" w:rsidRPr="00652B06">
        <w:rPr>
          <w:rFonts w:ascii="Times New Roman" w:hAnsi="Times New Roman" w:cs="Times New Roman"/>
          <w:sz w:val="24"/>
          <w:szCs w:val="24"/>
        </w:rPr>
        <w:t xml:space="preserve"> The </w:t>
      </w:r>
      <w:r w:rsidR="007E2C7A" w:rsidRPr="00652B06">
        <w:rPr>
          <w:rFonts w:ascii="Times New Roman" w:hAnsi="Times New Roman" w:cs="Times New Roman"/>
          <w:sz w:val="24"/>
          <w:szCs w:val="24"/>
        </w:rPr>
        <w:t>authors</w:t>
      </w:r>
      <w:r w:rsidR="00F350F8" w:rsidRPr="00652B06">
        <w:rPr>
          <w:rFonts w:ascii="Times New Roman" w:hAnsi="Times New Roman" w:cs="Times New Roman"/>
          <w:sz w:val="24"/>
          <w:szCs w:val="24"/>
        </w:rPr>
        <w:t xml:space="preserve"> have qualifications in military </w:t>
      </w:r>
      <w:r w:rsidR="007E2C7A" w:rsidRPr="00652B06">
        <w:rPr>
          <w:rFonts w:ascii="Times New Roman" w:hAnsi="Times New Roman" w:cs="Times New Roman"/>
          <w:sz w:val="24"/>
          <w:szCs w:val="24"/>
        </w:rPr>
        <w:t>medicine</w:t>
      </w:r>
      <w:r w:rsidR="00F350F8" w:rsidRPr="00652B06">
        <w:rPr>
          <w:rFonts w:ascii="Times New Roman" w:hAnsi="Times New Roman" w:cs="Times New Roman"/>
          <w:sz w:val="24"/>
          <w:szCs w:val="24"/>
        </w:rPr>
        <w:t xml:space="preserve"> that carry out research studies like gunshot wounds and lead toxicology. The purpose of the study is to analyze how residual lead can </w:t>
      </w:r>
      <w:r w:rsidR="00C80F02" w:rsidRPr="00652B06">
        <w:rPr>
          <w:rFonts w:ascii="Times New Roman" w:hAnsi="Times New Roman" w:cs="Times New Roman"/>
          <w:sz w:val="24"/>
          <w:szCs w:val="24"/>
        </w:rPr>
        <w:t>affect</w:t>
      </w:r>
      <w:r w:rsidR="00F350F8" w:rsidRPr="00652B06">
        <w:rPr>
          <w:rFonts w:ascii="Times New Roman" w:hAnsi="Times New Roman" w:cs="Times New Roman"/>
          <w:sz w:val="24"/>
          <w:szCs w:val="24"/>
        </w:rPr>
        <w:t xml:space="preserve"> </w:t>
      </w:r>
      <w:r w:rsidR="007E2C7A" w:rsidRPr="00652B06">
        <w:rPr>
          <w:rFonts w:ascii="Times New Roman" w:hAnsi="Times New Roman" w:cs="Times New Roman"/>
          <w:sz w:val="24"/>
          <w:szCs w:val="24"/>
        </w:rPr>
        <w:t>one’s</w:t>
      </w:r>
      <w:r w:rsidR="00F350F8" w:rsidRPr="00652B06">
        <w:rPr>
          <w:rFonts w:ascii="Times New Roman" w:hAnsi="Times New Roman" w:cs="Times New Roman"/>
          <w:sz w:val="24"/>
          <w:szCs w:val="24"/>
        </w:rPr>
        <w:t xml:space="preserve"> long-term health effects. The article used exploratory sequential methods. Furthermore, the results obtained indicate that people with residual lead in their gunshot wounds are likely to suffer long-term health adversities</w:t>
      </w:r>
      <w:r w:rsidR="006E04A0" w:rsidRPr="00652B06">
        <w:rPr>
          <w:rFonts w:ascii="Times New Roman" w:hAnsi="Times New Roman" w:cs="Times New Roman"/>
          <w:sz w:val="24"/>
          <w:szCs w:val="24"/>
        </w:rPr>
        <w:t xml:space="preserve"> (Nickel et al., 2018)</w:t>
      </w:r>
      <w:r w:rsidR="00F350F8" w:rsidRPr="00652B06">
        <w:rPr>
          <w:rFonts w:ascii="Times New Roman" w:hAnsi="Times New Roman" w:cs="Times New Roman"/>
          <w:sz w:val="24"/>
          <w:szCs w:val="24"/>
        </w:rPr>
        <w:t xml:space="preserve">. Moreover, the article is related to the sun coast problem as it recommends mitigation strategies that can be employed to protect workers from being exposed to lead. Besides, I believe the research made a positive organizational impact by providing awareness on lead poisoning. </w:t>
      </w:r>
    </w:p>
    <w:p w14:paraId="171CB012" w14:textId="516CE997" w:rsidR="00A628E8" w:rsidRPr="00652B06" w:rsidRDefault="00F350F8" w:rsidP="007E2C7A">
      <w:pPr>
        <w:autoSpaceDE w:val="0"/>
        <w:autoSpaceDN w:val="0"/>
        <w:adjustRightInd w:val="0"/>
        <w:spacing w:after="0" w:line="480" w:lineRule="auto"/>
        <w:jc w:val="center"/>
        <w:rPr>
          <w:rFonts w:ascii="Times New Roman" w:hAnsi="Times New Roman" w:cs="Times New Roman"/>
          <w:b/>
          <w:sz w:val="24"/>
          <w:szCs w:val="24"/>
        </w:rPr>
      </w:pPr>
      <w:r w:rsidRPr="00652B06">
        <w:rPr>
          <w:rFonts w:ascii="Times New Roman" w:hAnsi="Times New Roman" w:cs="Times New Roman"/>
          <w:b/>
          <w:sz w:val="24"/>
          <w:szCs w:val="24"/>
        </w:rPr>
        <w:t>Return on Investment</w:t>
      </w:r>
    </w:p>
    <w:p w14:paraId="6E9F005D" w14:textId="5A4A2BD5" w:rsidR="007E2C7A" w:rsidRPr="00652B06" w:rsidRDefault="00F350F8" w:rsidP="007E2C7A">
      <w:pPr>
        <w:autoSpaceDE w:val="0"/>
        <w:autoSpaceDN w:val="0"/>
        <w:adjustRightInd w:val="0"/>
        <w:spacing w:after="0" w:line="480" w:lineRule="auto"/>
        <w:ind w:firstLine="720"/>
        <w:rPr>
          <w:rFonts w:ascii="Times New Roman" w:hAnsi="Times New Roman" w:cs="Times New Roman"/>
          <w:sz w:val="24"/>
          <w:szCs w:val="24"/>
        </w:rPr>
      </w:pPr>
      <w:r w:rsidRPr="00652B06">
        <w:rPr>
          <w:rFonts w:ascii="Times New Roman" w:hAnsi="Times New Roman" w:cs="Times New Roman"/>
          <w:sz w:val="24"/>
          <w:szCs w:val="24"/>
        </w:rPr>
        <w:t>An article by Cassandra Jasson and Cookie Govender was used to ascertain return in investments. The research aimed to ascertain readers on how organizations invest in programs through human training to obtain a competitive advantage and return on investments. The design and methodologies used were mixed methods</w:t>
      </w:r>
      <w:r w:rsidR="009E0044" w:rsidRPr="00652B06">
        <w:rPr>
          <w:rFonts w:ascii="Times New Roman" w:hAnsi="Times New Roman" w:cs="Times New Roman"/>
          <w:sz w:val="24"/>
          <w:szCs w:val="24"/>
        </w:rPr>
        <w:t xml:space="preserve"> </w:t>
      </w:r>
      <w:r w:rsidR="006E04A0" w:rsidRPr="00652B06">
        <w:rPr>
          <w:rFonts w:ascii="Times New Roman" w:hAnsi="Times New Roman" w:cs="Times New Roman"/>
          <w:sz w:val="24"/>
          <w:szCs w:val="24"/>
        </w:rPr>
        <w:t>(Jasson &amp; Govender, 2017)</w:t>
      </w:r>
      <w:r w:rsidRPr="00652B06">
        <w:rPr>
          <w:rFonts w:ascii="Times New Roman" w:hAnsi="Times New Roman" w:cs="Times New Roman"/>
          <w:sz w:val="24"/>
          <w:szCs w:val="24"/>
        </w:rPr>
        <w:t>.  The results concluded that return on investments could be measured through management training. The article relates to the sun coast problem as it provides the organization with recommendations on how consumer training services should be imposed. Furthermore, I believe the research made a positive organizational contribution as it analyzed differences in return on investments for different training programs</w:t>
      </w:r>
    </w:p>
    <w:p w14:paraId="5D686990" w14:textId="77777777" w:rsidR="00A628E8" w:rsidRPr="00652B06" w:rsidRDefault="00A628E8" w:rsidP="00DD74AB">
      <w:pPr>
        <w:autoSpaceDE w:val="0"/>
        <w:autoSpaceDN w:val="0"/>
        <w:adjustRightInd w:val="0"/>
        <w:spacing w:after="0" w:line="480" w:lineRule="auto"/>
        <w:ind w:firstLine="720"/>
        <w:rPr>
          <w:rFonts w:ascii="Times New Roman" w:hAnsi="Times New Roman" w:cs="Times New Roman"/>
          <w:b/>
          <w:sz w:val="24"/>
          <w:szCs w:val="24"/>
        </w:rPr>
      </w:pPr>
    </w:p>
    <w:p w14:paraId="11D64DCB" w14:textId="77777777" w:rsidR="00641CA2" w:rsidRPr="00652B06" w:rsidRDefault="00641CA2" w:rsidP="00DD74AB">
      <w:pPr>
        <w:autoSpaceDE w:val="0"/>
        <w:autoSpaceDN w:val="0"/>
        <w:adjustRightInd w:val="0"/>
        <w:spacing w:after="0" w:line="480" w:lineRule="auto"/>
        <w:jc w:val="center"/>
        <w:rPr>
          <w:rFonts w:ascii="Times New Roman" w:hAnsi="Times New Roman" w:cs="Times New Roman"/>
          <w:b/>
          <w:sz w:val="24"/>
          <w:szCs w:val="24"/>
        </w:rPr>
      </w:pPr>
    </w:p>
    <w:p w14:paraId="060079C3" w14:textId="77777777" w:rsidR="008E3EA9" w:rsidRPr="00652B06" w:rsidRDefault="008E3EA9" w:rsidP="00C80F02">
      <w:pPr>
        <w:spacing w:after="0" w:line="480" w:lineRule="auto"/>
        <w:rPr>
          <w:rFonts w:ascii="Times New Roman" w:hAnsi="Times New Roman" w:cs="Times New Roman"/>
          <w:bCs/>
          <w:sz w:val="24"/>
          <w:szCs w:val="24"/>
        </w:rPr>
      </w:pPr>
    </w:p>
    <w:p w14:paraId="5E4EBDE7" w14:textId="77777777" w:rsidR="00990C36" w:rsidRDefault="00990C36">
      <w:pPr>
        <w:rPr>
          <w:rFonts w:ascii="Times New Roman" w:hAnsi="Times New Roman" w:cs="Times New Roman"/>
          <w:bCs/>
          <w:sz w:val="24"/>
          <w:szCs w:val="24"/>
        </w:rPr>
      </w:pPr>
      <w:r>
        <w:rPr>
          <w:rFonts w:ascii="Times New Roman" w:hAnsi="Times New Roman" w:cs="Times New Roman"/>
          <w:bCs/>
          <w:sz w:val="24"/>
          <w:szCs w:val="24"/>
        </w:rPr>
        <w:br w:type="page"/>
      </w:r>
    </w:p>
    <w:p w14:paraId="257AF442" w14:textId="0924A807" w:rsidR="00E90D28" w:rsidRPr="00652B06" w:rsidRDefault="00E90D28" w:rsidP="00990C36">
      <w:pPr>
        <w:spacing w:after="0" w:line="480" w:lineRule="auto"/>
        <w:jc w:val="center"/>
        <w:rPr>
          <w:rFonts w:ascii="Times New Roman" w:eastAsia="Times New Roman" w:hAnsi="Times New Roman" w:cs="Times New Roman"/>
          <w:b/>
          <w:sz w:val="24"/>
          <w:szCs w:val="24"/>
        </w:rPr>
      </w:pPr>
      <w:r w:rsidRPr="00652B06">
        <w:rPr>
          <w:rFonts w:ascii="Times New Roman" w:eastAsia="Times New Roman" w:hAnsi="Times New Roman" w:cs="Times New Roman"/>
          <w:b/>
          <w:sz w:val="24"/>
          <w:szCs w:val="24"/>
        </w:rPr>
        <w:lastRenderedPageBreak/>
        <w:t>References</w:t>
      </w:r>
    </w:p>
    <w:p w14:paraId="78F95D51" w14:textId="41F3A3F4" w:rsidR="00E90D28" w:rsidRPr="00652B06" w:rsidRDefault="00E90D28" w:rsidP="00E90D28">
      <w:pPr>
        <w:spacing w:after="0" w:line="480" w:lineRule="auto"/>
        <w:ind w:left="720" w:hanging="720"/>
        <w:rPr>
          <w:rFonts w:ascii="Times New Roman" w:eastAsia="Times New Roman" w:hAnsi="Times New Roman" w:cs="Times New Roman"/>
          <w:sz w:val="24"/>
          <w:szCs w:val="24"/>
        </w:rPr>
      </w:pPr>
      <w:r w:rsidRPr="00652B06">
        <w:rPr>
          <w:rFonts w:ascii="Times New Roman" w:eastAsia="Times New Roman" w:hAnsi="Times New Roman" w:cs="Times New Roman"/>
          <w:sz w:val="24"/>
          <w:szCs w:val="24"/>
        </w:rPr>
        <w:t xml:space="preserve">Creswell, J. W., &amp; Creswell, J. D. (2018). </w:t>
      </w:r>
      <w:r w:rsidRPr="00652B06">
        <w:rPr>
          <w:rFonts w:ascii="Times New Roman" w:eastAsia="Times New Roman" w:hAnsi="Times New Roman" w:cs="Times New Roman"/>
          <w:i/>
          <w:iCs/>
          <w:sz w:val="24"/>
          <w:szCs w:val="24"/>
        </w:rPr>
        <w:t>Research design: Qualitative, quantitative, and mixed methods approaches</w:t>
      </w:r>
      <w:r w:rsidRPr="00652B06">
        <w:rPr>
          <w:rFonts w:ascii="Times New Roman" w:eastAsia="Times New Roman" w:hAnsi="Times New Roman" w:cs="Times New Roman"/>
          <w:sz w:val="24"/>
          <w:szCs w:val="24"/>
        </w:rPr>
        <w:t xml:space="preserve"> (5th ed.). Sage Publications, Inc. </w:t>
      </w:r>
      <w:hyperlink r:id="rId8" w:history="1">
        <w:r w:rsidRPr="00652B06">
          <w:rPr>
            <w:rStyle w:val="Hyperlink"/>
            <w:rFonts w:ascii="Times New Roman" w:eastAsia="Times New Roman" w:hAnsi="Times New Roman" w:cs="Times New Roman"/>
            <w:sz w:val="24"/>
            <w:szCs w:val="24"/>
          </w:rPr>
          <w:t>https://b-ok.africa/book/5023141/3ad332</w:t>
        </w:r>
      </w:hyperlink>
      <w:r w:rsidRPr="00652B06">
        <w:rPr>
          <w:rFonts w:ascii="Times New Roman" w:eastAsia="Times New Roman" w:hAnsi="Times New Roman" w:cs="Times New Roman"/>
          <w:sz w:val="24"/>
          <w:szCs w:val="24"/>
        </w:rPr>
        <w:t xml:space="preserve"> </w:t>
      </w:r>
    </w:p>
    <w:p w14:paraId="117DE85C" w14:textId="7DF07635" w:rsidR="00E90D28" w:rsidRPr="00652B06" w:rsidRDefault="00E90D28" w:rsidP="00E90D28">
      <w:pPr>
        <w:spacing w:after="0" w:line="480" w:lineRule="auto"/>
        <w:ind w:left="720" w:hanging="720"/>
        <w:rPr>
          <w:rFonts w:ascii="Times New Roman" w:eastAsia="Times New Roman" w:hAnsi="Times New Roman" w:cs="Times New Roman"/>
          <w:sz w:val="24"/>
          <w:szCs w:val="24"/>
        </w:rPr>
      </w:pPr>
      <w:r w:rsidRPr="00652B06">
        <w:rPr>
          <w:rFonts w:ascii="Times New Roman" w:eastAsia="Times New Roman" w:hAnsi="Times New Roman" w:cs="Times New Roman"/>
          <w:sz w:val="24"/>
          <w:szCs w:val="24"/>
        </w:rPr>
        <w:t xml:space="preserve">Jasson, C. C., &amp; Govender, C. (2017). Measuring return on investment and risk in training – A business training evaluation model for managers and leaders. </w:t>
      </w:r>
      <w:r w:rsidRPr="00652B06">
        <w:rPr>
          <w:rFonts w:ascii="Times New Roman" w:eastAsia="Times New Roman" w:hAnsi="Times New Roman" w:cs="Times New Roman"/>
          <w:i/>
          <w:iCs/>
          <w:sz w:val="24"/>
          <w:szCs w:val="24"/>
        </w:rPr>
        <w:t>Acta Commercii</w:t>
      </w:r>
      <w:r w:rsidRPr="00652B06">
        <w:rPr>
          <w:rFonts w:ascii="Times New Roman" w:eastAsia="Times New Roman" w:hAnsi="Times New Roman" w:cs="Times New Roman"/>
          <w:sz w:val="24"/>
          <w:szCs w:val="24"/>
        </w:rPr>
        <w:t xml:space="preserve">, </w:t>
      </w:r>
      <w:r w:rsidRPr="00652B06">
        <w:rPr>
          <w:rFonts w:ascii="Times New Roman" w:eastAsia="Times New Roman" w:hAnsi="Times New Roman" w:cs="Times New Roman"/>
          <w:i/>
          <w:iCs/>
          <w:sz w:val="24"/>
          <w:szCs w:val="24"/>
        </w:rPr>
        <w:t>17</w:t>
      </w:r>
      <w:r w:rsidRPr="00652B06">
        <w:rPr>
          <w:rFonts w:ascii="Times New Roman" w:eastAsia="Times New Roman" w:hAnsi="Times New Roman" w:cs="Times New Roman"/>
          <w:sz w:val="24"/>
          <w:szCs w:val="24"/>
        </w:rPr>
        <w:t xml:space="preserve">(1), 1–9. </w:t>
      </w:r>
      <w:hyperlink r:id="rId9" w:history="1">
        <w:r w:rsidRPr="00652B06">
          <w:rPr>
            <w:rStyle w:val="Hyperlink"/>
            <w:rFonts w:ascii="Times New Roman" w:eastAsia="Times New Roman" w:hAnsi="Times New Roman" w:cs="Times New Roman"/>
            <w:sz w:val="24"/>
            <w:szCs w:val="24"/>
          </w:rPr>
          <w:t>https://doi.org/10.4102/ac.v17i1.401</w:t>
        </w:r>
      </w:hyperlink>
      <w:r w:rsidRPr="00652B06">
        <w:rPr>
          <w:rFonts w:ascii="Times New Roman" w:eastAsia="Times New Roman" w:hAnsi="Times New Roman" w:cs="Times New Roman"/>
          <w:sz w:val="24"/>
          <w:szCs w:val="24"/>
        </w:rPr>
        <w:t xml:space="preserve"> </w:t>
      </w:r>
    </w:p>
    <w:p w14:paraId="2647D5AF" w14:textId="19156DB1" w:rsidR="00E90D28" w:rsidRPr="00652B06" w:rsidRDefault="00E90D28" w:rsidP="00E90D28">
      <w:pPr>
        <w:spacing w:after="0" w:line="480" w:lineRule="auto"/>
        <w:ind w:left="720" w:hanging="720"/>
        <w:rPr>
          <w:rFonts w:ascii="Times New Roman" w:eastAsia="Times New Roman" w:hAnsi="Times New Roman" w:cs="Times New Roman"/>
          <w:sz w:val="24"/>
          <w:szCs w:val="24"/>
        </w:rPr>
      </w:pPr>
      <w:r w:rsidRPr="00652B06">
        <w:rPr>
          <w:rFonts w:ascii="Times New Roman" w:eastAsia="Times New Roman" w:hAnsi="Times New Roman" w:cs="Times New Roman"/>
          <w:sz w:val="24"/>
          <w:szCs w:val="24"/>
        </w:rPr>
        <w:t xml:space="preserve">Nickel, W. N., Steelman, T. J., Sabath, Z. R., &amp; Potter, B. K. (2018). Extra-Articular retained missiles; is surveillance of lead levels needed? </w:t>
      </w:r>
      <w:r w:rsidRPr="00652B06">
        <w:rPr>
          <w:rFonts w:ascii="Times New Roman" w:eastAsia="Times New Roman" w:hAnsi="Times New Roman" w:cs="Times New Roman"/>
          <w:i/>
          <w:iCs/>
          <w:sz w:val="24"/>
          <w:szCs w:val="24"/>
        </w:rPr>
        <w:t>Military Medicine</w:t>
      </w:r>
      <w:r w:rsidRPr="00652B06">
        <w:rPr>
          <w:rFonts w:ascii="Times New Roman" w:eastAsia="Times New Roman" w:hAnsi="Times New Roman" w:cs="Times New Roman"/>
          <w:sz w:val="24"/>
          <w:szCs w:val="24"/>
        </w:rPr>
        <w:t xml:space="preserve">, </w:t>
      </w:r>
      <w:r w:rsidRPr="00652B06">
        <w:rPr>
          <w:rFonts w:ascii="Times New Roman" w:eastAsia="Times New Roman" w:hAnsi="Times New Roman" w:cs="Times New Roman"/>
          <w:i/>
          <w:iCs/>
          <w:sz w:val="24"/>
          <w:szCs w:val="24"/>
        </w:rPr>
        <w:t>183</w:t>
      </w:r>
      <w:r w:rsidRPr="00652B06">
        <w:rPr>
          <w:rFonts w:ascii="Times New Roman" w:eastAsia="Times New Roman" w:hAnsi="Times New Roman" w:cs="Times New Roman"/>
          <w:sz w:val="24"/>
          <w:szCs w:val="24"/>
        </w:rPr>
        <w:t xml:space="preserve">(3-4), 107–113. </w:t>
      </w:r>
      <w:hyperlink r:id="rId10" w:history="1">
        <w:r w:rsidRPr="00652B06">
          <w:rPr>
            <w:rStyle w:val="Hyperlink"/>
            <w:rFonts w:ascii="Times New Roman" w:eastAsia="Times New Roman" w:hAnsi="Times New Roman" w:cs="Times New Roman"/>
            <w:sz w:val="24"/>
            <w:szCs w:val="24"/>
          </w:rPr>
          <w:t>https://doi.org/10.1093/milmed/usx076</w:t>
        </w:r>
      </w:hyperlink>
      <w:r w:rsidRPr="00652B06">
        <w:rPr>
          <w:rFonts w:ascii="Times New Roman" w:eastAsia="Times New Roman" w:hAnsi="Times New Roman" w:cs="Times New Roman"/>
          <w:sz w:val="24"/>
          <w:szCs w:val="24"/>
        </w:rPr>
        <w:t xml:space="preserve"> </w:t>
      </w:r>
    </w:p>
    <w:p w14:paraId="2CDD6042" w14:textId="1D8A0E2B" w:rsidR="00E90D28" w:rsidRPr="00652B06" w:rsidRDefault="00E90D28" w:rsidP="00E90D28">
      <w:pPr>
        <w:spacing w:after="0" w:line="480" w:lineRule="auto"/>
        <w:ind w:left="720" w:hanging="720"/>
        <w:rPr>
          <w:rFonts w:ascii="Times New Roman" w:eastAsia="Times New Roman" w:hAnsi="Times New Roman" w:cs="Times New Roman"/>
          <w:sz w:val="24"/>
          <w:szCs w:val="24"/>
        </w:rPr>
      </w:pPr>
      <w:r w:rsidRPr="00652B06">
        <w:rPr>
          <w:rFonts w:ascii="Times New Roman" w:eastAsia="Times New Roman" w:hAnsi="Times New Roman" w:cs="Times New Roman"/>
          <w:sz w:val="24"/>
          <w:szCs w:val="24"/>
        </w:rPr>
        <w:t xml:space="preserve">Samelli, A. G., Gomes, R. F., Chammas, T. V., Silva, B. G., Moreira, R. R., &amp; Fiorini, A. C. (2018). The study of attenuation levels and the comfort of earplugs. </w:t>
      </w:r>
      <w:r w:rsidRPr="00652B06">
        <w:rPr>
          <w:rFonts w:ascii="Times New Roman" w:eastAsia="Times New Roman" w:hAnsi="Times New Roman" w:cs="Times New Roman"/>
          <w:i/>
          <w:iCs/>
          <w:sz w:val="24"/>
          <w:szCs w:val="24"/>
        </w:rPr>
        <w:t>Noise &amp; Health</w:t>
      </w:r>
      <w:r w:rsidRPr="00652B06">
        <w:rPr>
          <w:rFonts w:ascii="Times New Roman" w:eastAsia="Times New Roman" w:hAnsi="Times New Roman" w:cs="Times New Roman"/>
          <w:sz w:val="24"/>
          <w:szCs w:val="24"/>
        </w:rPr>
        <w:t xml:space="preserve">, </w:t>
      </w:r>
      <w:r w:rsidRPr="00652B06">
        <w:rPr>
          <w:rFonts w:ascii="Times New Roman" w:eastAsia="Times New Roman" w:hAnsi="Times New Roman" w:cs="Times New Roman"/>
          <w:i/>
          <w:iCs/>
          <w:sz w:val="24"/>
          <w:szCs w:val="24"/>
        </w:rPr>
        <w:t>20</w:t>
      </w:r>
      <w:r w:rsidRPr="00652B06">
        <w:rPr>
          <w:rFonts w:ascii="Times New Roman" w:eastAsia="Times New Roman" w:hAnsi="Times New Roman" w:cs="Times New Roman"/>
          <w:sz w:val="24"/>
          <w:szCs w:val="24"/>
        </w:rPr>
        <w:t xml:space="preserve">(94), 112–119. </w:t>
      </w:r>
      <w:hyperlink r:id="rId11" w:history="1">
        <w:r w:rsidRPr="00652B06">
          <w:rPr>
            <w:rStyle w:val="Hyperlink"/>
            <w:rFonts w:ascii="Times New Roman" w:eastAsia="Times New Roman" w:hAnsi="Times New Roman" w:cs="Times New Roman"/>
            <w:sz w:val="24"/>
            <w:szCs w:val="24"/>
          </w:rPr>
          <w:t>https://pubmed.ncbi.nlm.nih.gov/29785976/</w:t>
        </w:r>
      </w:hyperlink>
      <w:r w:rsidRPr="00652B06">
        <w:rPr>
          <w:rFonts w:ascii="Times New Roman" w:eastAsia="Times New Roman" w:hAnsi="Times New Roman" w:cs="Times New Roman"/>
          <w:sz w:val="24"/>
          <w:szCs w:val="24"/>
        </w:rPr>
        <w:t xml:space="preserve"> </w:t>
      </w:r>
    </w:p>
    <w:p w14:paraId="43C29AF8" w14:textId="32E8D049" w:rsidR="00E90D28" w:rsidRPr="00652B06" w:rsidRDefault="00E90D28" w:rsidP="00E90D28">
      <w:pPr>
        <w:spacing w:after="0" w:line="480" w:lineRule="auto"/>
        <w:ind w:left="720" w:hanging="720"/>
        <w:rPr>
          <w:rFonts w:ascii="Times New Roman" w:eastAsia="Times New Roman" w:hAnsi="Times New Roman" w:cs="Times New Roman"/>
          <w:sz w:val="24"/>
          <w:szCs w:val="24"/>
        </w:rPr>
      </w:pPr>
      <w:r w:rsidRPr="00652B06">
        <w:rPr>
          <w:rFonts w:ascii="Times New Roman" w:eastAsia="Times New Roman" w:hAnsi="Times New Roman" w:cs="Times New Roman"/>
          <w:sz w:val="24"/>
          <w:szCs w:val="24"/>
        </w:rPr>
        <w:t xml:space="preserve">Sitzmann, T., &amp; Weinhardt, J. M. (2015). Training engagement theory: A multilevel perspective on the effectiveness of work-related training. </w:t>
      </w:r>
      <w:r w:rsidRPr="00652B06">
        <w:rPr>
          <w:rFonts w:ascii="Times New Roman" w:eastAsia="Times New Roman" w:hAnsi="Times New Roman" w:cs="Times New Roman"/>
          <w:i/>
          <w:iCs/>
          <w:sz w:val="24"/>
          <w:szCs w:val="24"/>
        </w:rPr>
        <w:t>Journal of Management</w:t>
      </w:r>
      <w:r w:rsidRPr="00652B06">
        <w:rPr>
          <w:rFonts w:ascii="Times New Roman" w:eastAsia="Times New Roman" w:hAnsi="Times New Roman" w:cs="Times New Roman"/>
          <w:sz w:val="24"/>
          <w:szCs w:val="24"/>
        </w:rPr>
        <w:t xml:space="preserve">, </w:t>
      </w:r>
      <w:r w:rsidRPr="00652B06">
        <w:rPr>
          <w:rFonts w:ascii="Times New Roman" w:eastAsia="Times New Roman" w:hAnsi="Times New Roman" w:cs="Times New Roman"/>
          <w:i/>
          <w:iCs/>
          <w:sz w:val="24"/>
          <w:szCs w:val="24"/>
        </w:rPr>
        <w:t>44</w:t>
      </w:r>
      <w:r w:rsidRPr="00652B06">
        <w:rPr>
          <w:rFonts w:ascii="Times New Roman" w:eastAsia="Times New Roman" w:hAnsi="Times New Roman" w:cs="Times New Roman"/>
          <w:sz w:val="24"/>
          <w:szCs w:val="24"/>
        </w:rPr>
        <w:t xml:space="preserve">(2), 1–25. </w:t>
      </w:r>
      <w:hyperlink r:id="rId12" w:history="1">
        <w:r w:rsidRPr="00652B06">
          <w:rPr>
            <w:rStyle w:val="Hyperlink"/>
            <w:rFonts w:ascii="Times New Roman" w:eastAsia="Times New Roman" w:hAnsi="Times New Roman" w:cs="Times New Roman"/>
            <w:sz w:val="24"/>
            <w:szCs w:val="24"/>
          </w:rPr>
          <w:t>https://doi.org/10.1177/0149206315574596</w:t>
        </w:r>
      </w:hyperlink>
      <w:r w:rsidRPr="00652B06">
        <w:rPr>
          <w:rFonts w:ascii="Times New Roman" w:eastAsia="Times New Roman" w:hAnsi="Times New Roman" w:cs="Times New Roman"/>
          <w:sz w:val="24"/>
          <w:szCs w:val="24"/>
        </w:rPr>
        <w:t xml:space="preserve"> </w:t>
      </w:r>
    </w:p>
    <w:p w14:paraId="1BBFF184" w14:textId="6FB56297" w:rsidR="00E90D28" w:rsidRPr="00652B06" w:rsidRDefault="00E90D28" w:rsidP="00E90D28">
      <w:pPr>
        <w:spacing w:after="0" w:line="480" w:lineRule="auto"/>
        <w:ind w:left="720" w:hanging="720"/>
        <w:rPr>
          <w:rFonts w:ascii="Times New Roman" w:eastAsia="Times New Roman" w:hAnsi="Times New Roman" w:cs="Times New Roman"/>
          <w:sz w:val="24"/>
          <w:szCs w:val="24"/>
        </w:rPr>
      </w:pPr>
      <w:r w:rsidRPr="00652B06">
        <w:rPr>
          <w:rFonts w:ascii="Times New Roman" w:eastAsia="Times New Roman" w:hAnsi="Times New Roman" w:cs="Times New Roman"/>
          <w:sz w:val="24"/>
          <w:szCs w:val="24"/>
        </w:rPr>
        <w:t xml:space="preserve">Srimannarayana, M. (2017). From reactions to return on investment: A study on training evaluation practices. </w:t>
      </w:r>
      <w:r w:rsidRPr="00652B06">
        <w:rPr>
          <w:rFonts w:ascii="Times New Roman" w:eastAsia="Times New Roman" w:hAnsi="Times New Roman" w:cs="Times New Roman"/>
          <w:i/>
          <w:iCs/>
          <w:sz w:val="24"/>
          <w:szCs w:val="24"/>
        </w:rPr>
        <w:t>Indian Journal of Industrial Relations</w:t>
      </w:r>
      <w:r w:rsidRPr="00652B06">
        <w:rPr>
          <w:rFonts w:ascii="Times New Roman" w:eastAsia="Times New Roman" w:hAnsi="Times New Roman" w:cs="Times New Roman"/>
          <w:sz w:val="24"/>
          <w:szCs w:val="24"/>
        </w:rPr>
        <w:t xml:space="preserve">, </w:t>
      </w:r>
      <w:r w:rsidRPr="00652B06">
        <w:rPr>
          <w:rFonts w:ascii="Times New Roman" w:eastAsia="Times New Roman" w:hAnsi="Times New Roman" w:cs="Times New Roman"/>
          <w:i/>
          <w:iCs/>
          <w:sz w:val="24"/>
          <w:szCs w:val="24"/>
        </w:rPr>
        <w:t>53</w:t>
      </w:r>
      <w:r w:rsidRPr="00652B06">
        <w:rPr>
          <w:rFonts w:ascii="Times New Roman" w:eastAsia="Times New Roman" w:hAnsi="Times New Roman" w:cs="Times New Roman"/>
          <w:sz w:val="24"/>
          <w:szCs w:val="24"/>
        </w:rPr>
        <w:t xml:space="preserve">(1), 1–20. </w:t>
      </w:r>
      <w:hyperlink r:id="rId13" w:history="1">
        <w:r w:rsidRPr="00652B06">
          <w:rPr>
            <w:rStyle w:val="Hyperlink"/>
            <w:rFonts w:ascii="Times New Roman" w:eastAsia="Times New Roman" w:hAnsi="Times New Roman" w:cs="Times New Roman"/>
            <w:sz w:val="24"/>
            <w:szCs w:val="24"/>
          </w:rPr>
          <w:t>https://www.jstor.org/stable/26536433</w:t>
        </w:r>
      </w:hyperlink>
      <w:r w:rsidRPr="00652B06">
        <w:rPr>
          <w:rFonts w:ascii="Times New Roman" w:eastAsia="Times New Roman" w:hAnsi="Times New Roman" w:cs="Times New Roman"/>
          <w:sz w:val="24"/>
          <w:szCs w:val="24"/>
        </w:rPr>
        <w:t xml:space="preserve"> </w:t>
      </w:r>
    </w:p>
    <w:p w14:paraId="2DA10B21" w14:textId="727F5872" w:rsidR="00E90D28" w:rsidRPr="00652B06" w:rsidRDefault="00E90D28" w:rsidP="00E90D28">
      <w:pPr>
        <w:spacing w:after="0" w:line="480" w:lineRule="auto"/>
        <w:ind w:left="720" w:hanging="720"/>
        <w:rPr>
          <w:rFonts w:ascii="Times New Roman" w:eastAsia="Times New Roman" w:hAnsi="Times New Roman" w:cs="Times New Roman"/>
          <w:sz w:val="24"/>
          <w:szCs w:val="24"/>
        </w:rPr>
      </w:pPr>
      <w:r w:rsidRPr="00652B06">
        <w:rPr>
          <w:rFonts w:ascii="Times New Roman" w:eastAsia="Times New Roman" w:hAnsi="Times New Roman" w:cs="Times New Roman"/>
          <w:sz w:val="24"/>
          <w:szCs w:val="24"/>
        </w:rPr>
        <w:t xml:space="preserve">Velentza, O. (2016). Particular matters: A threat for human health. </w:t>
      </w:r>
      <w:r w:rsidRPr="00652B06">
        <w:rPr>
          <w:rFonts w:ascii="Times New Roman" w:eastAsia="Times New Roman" w:hAnsi="Times New Roman" w:cs="Times New Roman"/>
          <w:i/>
          <w:iCs/>
          <w:sz w:val="24"/>
          <w:szCs w:val="24"/>
        </w:rPr>
        <w:t>Scientific Chronicles</w:t>
      </w:r>
      <w:r w:rsidRPr="00652B06">
        <w:rPr>
          <w:rFonts w:ascii="Times New Roman" w:eastAsia="Times New Roman" w:hAnsi="Times New Roman" w:cs="Times New Roman"/>
          <w:sz w:val="24"/>
          <w:szCs w:val="24"/>
        </w:rPr>
        <w:t xml:space="preserve">, </w:t>
      </w:r>
      <w:r w:rsidRPr="00652B06">
        <w:rPr>
          <w:rFonts w:ascii="Times New Roman" w:eastAsia="Times New Roman" w:hAnsi="Times New Roman" w:cs="Times New Roman"/>
          <w:i/>
          <w:iCs/>
          <w:sz w:val="24"/>
          <w:szCs w:val="24"/>
        </w:rPr>
        <w:t>21</w:t>
      </w:r>
      <w:r w:rsidRPr="00652B06">
        <w:rPr>
          <w:rFonts w:ascii="Times New Roman" w:eastAsia="Times New Roman" w:hAnsi="Times New Roman" w:cs="Times New Roman"/>
          <w:sz w:val="24"/>
          <w:szCs w:val="24"/>
        </w:rPr>
        <w:t xml:space="preserve">(3), 233–244. </w:t>
      </w:r>
      <w:hyperlink r:id="rId14" w:history="1">
        <w:r w:rsidRPr="00652B06">
          <w:rPr>
            <w:rStyle w:val="Hyperlink"/>
            <w:rFonts w:ascii="Times New Roman" w:eastAsia="Times New Roman" w:hAnsi="Times New Roman" w:cs="Times New Roman"/>
            <w:sz w:val="24"/>
            <w:szCs w:val="24"/>
          </w:rPr>
          <w:t>http://www.tzaneio.gr/wp-content/uploads/epistimonika_xronika/p16-3-3.pdf</w:t>
        </w:r>
      </w:hyperlink>
      <w:r w:rsidRPr="00652B06">
        <w:rPr>
          <w:rFonts w:ascii="Times New Roman" w:eastAsia="Times New Roman" w:hAnsi="Times New Roman" w:cs="Times New Roman"/>
          <w:sz w:val="24"/>
          <w:szCs w:val="24"/>
        </w:rPr>
        <w:t xml:space="preserve"> </w:t>
      </w:r>
    </w:p>
    <w:p w14:paraId="0D440022" w14:textId="77BBE9F6" w:rsidR="00C80F02" w:rsidRPr="00652B06" w:rsidRDefault="00C80F02" w:rsidP="00E90D28">
      <w:pPr>
        <w:spacing w:after="0" w:line="480" w:lineRule="auto"/>
        <w:jc w:val="center"/>
        <w:rPr>
          <w:rFonts w:ascii="Times New Roman" w:hAnsi="Times New Roman" w:cs="Times New Roman"/>
          <w:sz w:val="24"/>
          <w:szCs w:val="24"/>
        </w:rPr>
      </w:pPr>
    </w:p>
    <w:sectPr w:rsidR="00C80F02" w:rsidRPr="00652B06" w:rsidSect="00DD74AB">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74103" w14:textId="77777777" w:rsidR="00762662" w:rsidRDefault="00762662">
      <w:pPr>
        <w:spacing w:after="0" w:line="240" w:lineRule="auto"/>
      </w:pPr>
      <w:r>
        <w:separator/>
      </w:r>
    </w:p>
  </w:endnote>
  <w:endnote w:type="continuationSeparator" w:id="0">
    <w:p w14:paraId="4DBBEB38" w14:textId="77777777" w:rsidR="00762662" w:rsidRDefault="00762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E9D80" w14:textId="77777777" w:rsidR="00BF7299" w:rsidRDefault="00BF72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21E10" w14:textId="77777777" w:rsidR="00BF7299" w:rsidRDefault="00BF72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C4A52" w14:textId="77777777" w:rsidR="00BF7299" w:rsidRDefault="00BF7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03B78" w14:textId="77777777" w:rsidR="00762662" w:rsidRDefault="00762662">
      <w:pPr>
        <w:spacing w:after="0" w:line="240" w:lineRule="auto"/>
      </w:pPr>
      <w:r>
        <w:separator/>
      </w:r>
    </w:p>
  </w:footnote>
  <w:footnote w:type="continuationSeparator" w:id="0">
    <w:p w14:paraId="6715F647" w14:textId="77777777" w:rsidR="00762662" w:rsidRDefault="00762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4A9B4" w14:textId="77777777" w:rsidR="00BF7299" w:rsidRDefault="00BF72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D3837" w14:textId="3FEB9E6E" w:rsidR="00406549" w:rsidRPr="00652B06" w:rsidRDefault="00F350F8" w:rsidP="00652B06">
    <w:pPr>
      <w:pStyle w:val="Header"/>
      <w:spacing w:line="480" w:lineRule="auto"/>
      <w:rPr>
        <w:rFonts w:ascii="Times New Roman" w:hAnsi="Times New Roman" w:cs="Times New Roman"/>
      </w:rPr>
    </w:pPr>
    <w:r w:rsidRPr="00652B06">
      <w:rPr>
        <w:rFonts w:ascii="Times New Roman" w:hAnsi="Times New Roman" w:cs="Times New Roman"/>
        <w:sz w:val="24"/>
      </w:rPr>
      <w:tab/>
    </w:r>
    <w:r w:rsidR="003155D3" w:rsidRPr="00652B06">
      <w:rPr>
        <w:rFonts w:ascii="Times New Roman" w:hAnsi="Times New Roman" w:cs="Times New Roman"/>
        <w:sz w:val="24"/>
      </w:rPr>
      <w:tab/>
    </w:r>
    <w:r w:rsidRPr="00652B06">
      <w:rPr>
        <w:rFonts w:ascii="Times New Roman" w:hAnsi="Times New Roman" w:cs="Times New Roman"/>
        <w:sz w:val="24"/>
      </w:rPr>
      <w:fldChar w:fldCharType="begin"/>
    </w:r>
    <w:r w:rsidRPr="00652B06">
      <w:rPr>
        <w:rFonts w:ascii="Times New Roman" w:hAnsi="Times New Roman" w:cs="Times New Roman"/>
        <w:sz w:val="24"/>
      </w:rPr>
      <w:instrText xml:space="preserve"> PAGE   \* MERGEFORMAT </w:instrText>
    </w:r>
    <w:r w:rsidRPr="00652B06">
      <w:rPr>
        <w:rFonts w:ascii="Times New Roman" w:hAnsi="Times New Roman" w:cs="Times New Roman"/>
        <w:sz w:val="24"/>
      </w:rPr>
      <w:fldChar w:fldCharType="separate"/>
    </w:r>
    <w:r w:rsidR="009F1D6F">
      <w:rPr>
        <w:rFonts w:ascii="Times New Roman" w:hAnsi="Times New Roman" w:cs="Times New Roman"/>
        <w:noProof/>
        <w:sz w:val="24"/>
      </w:rPr>
      <w:t>2</w:t>
    </w:r>
    <w:r w:rsidRPr="00652B06">
      <w:rPr>
        <w:rFonts w:ascii="Times New Roman" w:hAnsi="Times New Roman" w:cs="Times New Roman"/>
        <w:noProof/>
        <w:sz w:val="24"/>
      </w:rPr>
      <w:fldChar w:fldCharType="end"/>
    </w:r>
    <w:r w:rsidR="003155D3" w:rsidRPr="00652B06">
      <w:rPr>
        <w:rFonts w:ascii="Times New Roman" w:hAnsi="Times New Roman" w:cs="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4A0" w:firstRow="1" w:lastRow="0" w:firstColumn="1" w:lastColumn="0" w:noHBand="0" w:noVBand="1"/>
    </w:tblPr>
    <w:tblGrid>
      <w:gridCol w:w="3120"/>
      <w:gridCol w:w="3121"/>
      <w:gridCol w:w="3119"/>
    </w:tblGrid>
    <w:tr w:rsidR="00035CBD" w14:paraId="7C9F82D8" w14:textId="77777777">
      <w:trPr>
        <w:trHeight w:val="720"/>
      </w:trPr>
      <w:tc>
        <w:tcPr>
          <w:tcW w:w="1667" w:type="pct"/>
        </w:tcPr>
        <w:p w14:paraId="43A5FF4E" w14:textId="2C54A44B" w:rsidR="00B70BC7" w:rsidRDefault="00B70BC7">
          <w:pPr>
            <w:pStyle w:val="Header"/>
            <w:tabs>
              <w:tab w:val="clear" w:pos="4680"/>
              <w:tab w:val="clear" w:pos="9360"/>
            </w:tabs>
            <w:rPr>
              <w:color w:val="4472C4" w:themeColor="accent1"/>
            </w:rPr>
          </w:pPr>
        </w:p>
      </w:tc>
      <w:tc>
        <w:tcPr>
          <w:tcW w:w="1667" w:type="pct"/>
        </w:tcPr>
        <w:p w14:paraId="524030D8" w14:textId="77777777" w:rsidR="00B70BC7" w:rsidRDefault="00B70BC7">
          <w:pPr>
            <w:pStyle w:val="Header"/>
            <w:tabs>
              <w:tab w:val="clear" w:pos="4680"/>
              <w:tab w:val="clear" w:pos="9360"/>
            </w:tabs>
            <w:jc w:val="center"/>
            <w:rPr>
              <w:color w:val="4472C4" w:themeColor="accent1"/>
            </w:rPr>
          </w:pPr>
        </w:p>
      </w:tc>
      <w:tc>
        <w:tcPr>
          <w:tcW w:w="1666" w:type="pct"/>
        </w:tcPr>
        <w:p w14:paraId="039EC2B0" w14:textId="77777777" w:rsidR="00B70BC7" w:rsidRPr="00B70BC7" w:rsidRDefault="00F350F8">
          <w:pPr>
            <w:pStyle w:val="Header"/>
            <w:tabs>
              <w:tab w:val="clear" w:pos="4680"/>
              <w:tab w:val="clear" w:pos="9360"/>
            </w:tabs>
            <w:jc w:val="right"/>
          </w:pPr>
          <w:r w:rsidRPr="00B70BC7">
            <w:rPr>
              <w:sz w:val="24"/>
              <w:szCs w:val="24"/>
            </w:rPr>
            <w:fldChar w:fldCharType="begin"/>
          </w:r>
          <w:r w:rsidRPr="00B70BC7">
            <w:rPr>
              <w:sz w:val="24"/>
              <w:szCs w:val="24"/>
            </w:rPr>
            <w:instrText xml:space="preserve"> PAGE   \* MERGEFORMAT </w:instrText>
          </w:r>
          <w:r w:rsidRPr="00B70BC7">
            <w:rPr>
              <w:sz w:val="24"/>
              <w:szCs w:val="24"/>
            </w:rPr>
            <w:fldChar w:fldCharType="separate"/>
          </w:r>
          <w:r w:rsidR="00F458F1">
            <w:rPr>
              <w:noProof/>
              <w:sz w:val="24"/>
              <w:szCs w:val="24"/>
            </w:rPr>
            <w:t>1</w:t>
          </w:r>
          <w:r w:rsidRPr="00B70BC7">
            <w:rPr>
              <w:sz w:val="24"/>
              <w:szCs w:val="24"/>
            </w:rPr>
            <w:fldChar w:fldCharType="end"/>
          </w:r>
        </w:p>
      </w:tc>
    </w:tr>
  </w:tbl>
  <w:p w14:paraId="0E6B9F6B" w14:textId="77777777" w:rsidR="00B20D83" w:rsidRPr="00B70BC7" w:rsidRDefault="00B20D8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363FA"/>
    <w:multiLevelType w:val="hybridMultilevel"/>
    <w:tmpl w:val="A9DCE8E0"/>
    <w:lvl w:ilvl="0" w:tplc="237C907A">
      <w:start w:val="1"/>
      <w:numFmt w:val="decimal"/>
      <w:lvlText w:val="%1."/>
      <w:lvlJc w:val="left"/>
      <w:pPr>
        <w:ind w:left="1080" w:hanging="360"/>
      </w:pPr>
      <w:rPr>
        <w:rFonts w:hint="default"/>
        <w:b/>
      </w:rPr>
    </w:lvl>
    <w:lvl w:ilvl="1" w:tplc="1EEA761E" w:tentative="1">
      <w:start w:val="1"/>
      <w:numFmt w:val="lowerLetter"/>
      <w:lvlText w:val="%2."/>
      <w:lvlJc w:val="left"/>
      <w:pPr>
        <w:ind w:left="1800" w:hanging="360"/>
      </w:pPr>
    </w:lvl>
    <w:lvl w:ilvl="2" w:tplc="CFA8F1F6" w:tentative="1">
      <w:start w:val="1"/>
      <w:numFmt w:val="lowerRoman"/>
      <w:lvlText w:val="%3."/>
      <w:lvlJc w:val="right"/>
      <w:pPr>
        <w:ind w:left="2520" w:hanging="180"/>
      </w:pPr>
    </w:lvl>
    <w:lvl w:ilvl="3" w:tplc="0D5C0096" w:tentative="1">
      <w:start w:val="1"/>
      <w:numFmt w:val="decimal"/>
      <w:lvlText w:val="%4."/>
      <w:lvlJc w:val="left"/>
      <w:pPr>
        <w:ind w:left="3240" w:hanging="360"/>
      </w:pPr>
    </w:lvl>
    <w:lvl w:ilvl="4" w:tplc="C916E586" w:tentative="1">
      <w:start w:val="1"/>
      <w:numFmt w:val="lowerLetter"/>
      <w:lvlText w:val="%5."/>
      <w:lvlJc w:val="left"/>
      <w:pPr>
        <w:ind w:left="3960" w:hanging="360"/>
      </w:pPr>
    </w:lvl>
    <w:lvl w:ilvl="5" w:tplc="0B1A5AF4" w:tentative="1">
      <w:start w:val="1"/>
      <w:numFmt w:val="lowerRoman"/>
      <w:lvlText w:val="%6."/>
      <w:lvlJc w:val="right"/>
      <w:pPr>
        <w:ind w:left="4680" w:hanging="180"/>
      </w:pPr>
    </w:lvl>
    <w:lvl w:ilvl="6" w:tplc="BE344F7A" w:tentative="1">
      <w:start w:val="1"/>
      <w:numFmt w:val="decimal"/>
      <w:lvlText w:val="%7."/>
      <w:lvlJc w:val="left"/>
      <w:pPr>
        <w:ind w:left="5400" w:hanging="360"/>
      </w:pPr>
    </w:lvl>
    <w:lvl w:ilvl="7" w:tplc="6D7A7592" w:tentative="1">
      <w:start w:val="1"/>
      <w:numFmt w:val="lowerLetter"/>
      <w:lvlText w:val="%8."/>
      <w:lvlJc w:val="left"/>
      <w:pPr>
        <w:ind w:left="6120" w:hanging="360"/>
      </w:pPr>
    </w:lvl>
    <w:lvl w:ilvl="8" w:tplc="EFE48DA0"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87"/>
    <w:rsid w:val="00035CBD"/>
    <w:rsid w:val="00076161"/>
    <w:rsid w:val="000C5121"/>
    <w:rsid w:val="00104731"/>
    <w:rsid w:val="00145829"/>
    <w:rsid w:val="00174D67"/>
    <w:rsid w:val="001A16B3"/>
    <w:rsid w:val="00220F1E"/>
    <w:rsid w:val="00232400"/>
    <w:rsid w:val="002504ED"/>
    <w:rsid w:val="002A3F8D"/>
    <w:rsid w:val="002C70AF"/>
    <w:rsid w:val="003155D3"/>
    <w:rsid w:val="003315B3"/>
    <w:rsid w:val="003368B3"/>
    <w:rsid w:val="00344244"/>
    <w:rsid w:val="00352D9C"/>
    <w:rsid w:val="00396F0F"/>
    <w:rsid w:val="003A420E"/>
    <w:rsid w:val="003C7DAF"/>
    <w:rsid w:val="003E291C"/>
    <w:rsid w:val="00406549"/>
    <w:rsid w:val="0042371D"/>
    <w:rsid w:val="0043312C"/>
    <w:rsid w:val="00433858"/>
    <w:rsid w:val="00451F5B"/>
    <w:rsid w:val="00490108"/>
    <w:rsid w:val="004B2177"/>
    <w:rsid w:val="004C63D6"/>
    <w:rsid w:val="005176FC"/>
    <w:rsid w:val="00565256"/>
    <w:rsid w:val="0058405B"/>
    <w:rsid w:val="005C3AA9"/>
    <w:rsid w:val="005E1D31"/>
    <w:rsid w:val="005E306E"/>
    <w:rsid w:val="00634B2A"/>
    <w:rsid w:val="0063744C"/>
    <w:rsid w:val="00641CA2"/>
    <w:rsid w:val="00652B06"/>
    <w:rsid w:val="00662CD2"/>
    <w:rsid w:val="00663683"/>
    <w:rsid w:val="006E04A0"/>
    <w:rsid w:val="006F5674"/>
    <w:rsid w:val="00762662"/>
    <w:rsid w:val="007B19CE"/>
    <w:rsid w:val="007B27CC"/>
    <w:rsid w:val="007E2C7A"/>
    <w:rsid w:val="007E642E"/>
    <w:rsid w:val="007F4765"/>
    <w:rsid w:val="008150FA"/>
    <w:rsid w:val="00830E62"/>
    <w:rsid w:val="00885B13"/>
    <w:rsid w:val="00887A4B"/>
    <w:rsid w:val="008B7033"/>
    <w:rsid w:val="008D2809"/>
    <w:rsid w:val="008D7E30"/>
    <w:rsid w:val="008E3EA9"/>
    <w:rsid w:val="008F36E9"/>
    <w:rsid w:val="00954232"/>
    <w:rsid w:val="0097507C"/>
    <w:rsid w:val="00990C36"/>
    <w:rsid w:val="009A2FD8"/>
    <w:rsid w:val="009A5654"/>
    <w:rsid w:val="009E0044"/>
    <w:rsid w:val="009F1D6F"/>
    <w:rsid w:val="009F4E3A"/>
    <w:rsid w:val="00A06387"/>
    <w:rsid w:val="00A07956"/>
    <w:rsid w:val="00A628E8"/>
    <w:rsid w:val="00AB6118"/>
    <w:rsid w:val="00AC28D3"/>
    <w:rsid w:val="00AF3725"/>
    <w:rsid w:val="00B20D83"/>
    <w:rsid w:val="00B50AEA"/>
    <w:rsid w:val="00B70BC7"/>
    <w:rsid w:val="00B84499"/>
    <w:rsid w:val="00B91664"/>
    <w:rsid w:val="00BF7299"/>
    <w:rsid w:val="00C016EF"/>
    <w:rsid w:val="00C80F02"/>
    <w:rsid w:val="00C84314"/>
    <w:rsid w:val="00C94593"/>
    <w:rsid w:val="00CB1145"/>
    <w:rsid w:val="00CF7FF8"/>
    <w:rsid w:val="00D24861"/>
    <w:rsid w:val="00D34AF8"/>
    <w:rsid w:val="00D52111"/>
    <w:rsid w:val="00D65800"/>
    <w:rsid w:val="00D87F9D"/>
    <w:rsid w:val="00DD74AB"/>
    <w:rsid w:val="00E36E57"/>
    <w:rsid w:val="00E76441"/>
    <w:rsid w:val="00E90D28"/>
    <w:rsid w:val="00EF02DD"/>
    <w:rsid w:val="00F01C3F"/>
    <w:rsid w:val="00F350F8"/>
    <w:rsid w:val="00F458F1"/>
    <w:rsid w:val="00FC7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12E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3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85B13"/>
    <w:rPr>
      <w:i/>
      <w:iCs/>
    </w:rPr>
  </w:style>
  <w:style w:type="paragraph" w:customStyle="1" w:styleId="Default">
    <w:name w:val="Default"/>
    <w:rsid w:val="00885B13"/>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885B13"/>
    <w:pPr>
      <w:spacing w:after="200" w:line="276" w:lineRule="auto"/>
      <w:ind w:left="720"/>
      <w:contextualSpacing/>
    </w:pPr>
  </w:style>
  <w:style w:type="paragraph" w:styleId="Header">
    <w:name w:val="header"/>
    <w:basedOn w:val="Normal"/>
    <w:link w:val="HeaderChar"/>
    <w:uiPriority w:val="99"/>
    <w:unhideWhenUsed/>
    <w:rsid w:val="00406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549"/>
  </w:style>
  <w:style w:type="paragraph" w:styleId="Footer">
    <w:name w:val="footer"/>
    <w:basedOn w:val="Normal"/>
    <w:link w:val="FooterChar"/>
    <w:uiPriority w:val="99"/>
    <w:unhideWhenUsed/>
    <w:rsid w:val="00406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549"/>
  </w:style>
  <w:style w:type="paragraph" w:styleId="BalloonText">
    <w:name w:val="Balloon Text"/>
    <w:basedOn w:val="Normal"/>
    <w:link w:val="BalloonTextChar"/>
    <w:uiPriority w:val="99"/>
    <w:semiHidden/>
    <w:unhideWhenUsed/>
    <w:rsid w:val="00B20D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83"/>
    <w:rPr>
      <w:rFonts w:ascii="Segoe UI" w:hAnsi="Segoe UI" w:cs="Segoe UI"/>
      <w:sz w:val="18"/>
      <w:szCs w:val="18"/>
    </w:rPr>
  </w:style>
  <w:style w:type="paragraph" w:styleId="NormalWeb">
    <w:name w:val="Normal (Web)"/>
    <w:basedOn w:val="Normal"/>
    <w:uiPriority w:val="99"/>
    <w:unhideWhenUsed/>
    <w:rsid w:val="009E00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E0044"/>
    <w:rPr>
      <w:color w:val="0563C1" w:themeColor="hyperlink"/>
      <w:u w:val="single"/>
    </w:rPr>
  </w:style>
  <w:style w:type="character" w:styleId="CommentReference">
    <w:name w:val="annotation reference"/>
    <w:basedOn w:val="DefaultParagraphFont"/>
    <w:uiPriority w:val="99"/>
    <w:semiHidden/>
    <w:unhideWhenUsed/>
    <w:rsid w:val="00652B06"/>
    <w:rPr>
      <w:sz w:val="16"/>
      <w:szCs w:val="16"/>
    </w:rPr>
  </w:style>
  <w:style w:type="paragraph" w:styleId="CommentText">
    <w:name w:val="annotation text"/>
    <w:basedOn w:val="Normal"/>
    <w:link w:val="CommentTextChar"/>
    <w:uiPriority w:val="99"/>
    <w:semiHidden/>
    <w:unhideWhenUsed/>
    <w:rsid w:val="00652B06"/>
    <w:pPr>
      <w:spacing w:line="240" w:lineRule="auto"/>
    </w:pPr>
    <w:rPr>
      <w:sz w:val="20"/>
      <w:szCs w:val="20"/>
    </w:rPr>
  </w:style>
  <w:style w:type="character" w:customStyle="1" w:styleId="CommentTextChar">
    <w:name w:val="Comment Text Char"/>
    <w:basedOn w:val="DefaultParagraphFont"/>
    <w:link w:val="CommentText"/>
    <w:uiPriority w:val="99"/>
    <w:semiHidden/>
    <w:rsid w:val="00652B06"/>
    <w:rPr>
      <w:sz w:val="20"/>
      <w:szCs w:val="20"/>
    </w:rPr>
  </w:style>
  <w:style w:type="paragraph" w:styleId="CommentSubject">
    <w:name w:val="annotation subject"/>
    <w:basedOn w:val="CommentText"/>
    <w:next w:val="CommentText"/>
    <w:link w:val="CommentSubjectChar"/>
    <w:uiPriority w:val="99"/>
    <w:semiHidden/>
    <w:unhideWhenUsed/>
    <w:rsid w:val="00652B06"/>
    <w:rPr>
      <w:b/>
      <w:bCs/>
    </w:rPr>
  </w:style>
  <w:style w:type="character" w:customStyle="1" w:styleId="CommentSubjectChar">
    <w:name w:val="Comment Subject Char"/>
    <w:basedOn w:val="CommentTextChar"/>
    <w:link w:val="CommentSubject"/>
    <w:uiPriority w:val="99"/>
    <w:semiHidden/>
    <w:rsid w:val="00652B06"/>
    <w:rPr>
      <w:b/>
      <w:bCs/>
      <w:sz w:val="20"/>
      <w:szCs w:val="20"/>
    </w:rPr>
  </w:style>
  <w:style w:type="paragraph" w:styleId="Revision">
    <w:name w:val="Revision"/>
    <w:hidden/>
    <w:uiPriority w:val="99"/>
    <w:semiHidden/>
    <w:rsid w:val="00652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606117">
      <w:bodyDiv w:val="1"/>
      <w:marLeft w:val="0"/>
      <w:marRight w:val="0"/>
      <w:marTop w:val="0"/>
      <w:marBottom w:val="0"/>
      <w:divBdr>
        <w:top w:val="none" w:sz="0" w:space="0" w:color="auto"/>
        <w:left w:val="none" w:sz="0" w:space="0" w:color="auto"/>
        <w:bottom w:val="none" w:sz="0" w:space="0" w:color="auto"/>
        <w:right w:val="none" w:sz="0" w:space="0" w:color="auto"/>
      </w:divBdr>
      <w:divsChild>
        <w:div w:id="429863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k.africa/book/5023141/3ad332" TargetMode="External"/><Relationship Id="rId13" Type="http://schemas.openxmlformats.org/officeDocument/2006/relationships/hyperlink" Target="https://www.jstor.org/stable/26536433"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177/014920631557459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2978597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1093/milmed/usx076"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4102/ac.v17i1.401" TargetMode="External"/><Relationship Id="rId14" Type="http://schemas.openxmlformats.org/officeDocument/2006/relationships/hyperlink" Target="http://www.tzaneio.gr/wp-content/uploads/epistimonika_xronika/p16-3-3.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24F0B-F6F1-4BDC-884B-A7BBBA69E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2021-10-05T20:55:00Z</dcterms:created>
  <dcterms:modified xsi:type="dcterms:W3CDTF">2021-10-05T20:55:00Z</dcterms:modified>
</cp:coreProperties>
</file>